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C0A" w:rsidRPr="00407938" w:rsidRDefault="00B32C0A" w:rsidP="00B32C0A">
      <w:pPr>
        <w:pStyle w:val="Kop1"/>
      </w:pPr>
      <w:bookmarkStart w:id="0" w:name="_Toc452632258"/>
      <w:bookmarkStart w:id="1" w:name="_GoBack"/>
      <w:bookmarkEnd w:id="1"/>
      <w:r>
        <w:t xml:space="preserve">1.4 </w:t>
      </w:r>
      <w:r>
        <w:tab/>
        <w:t>Toezicht, bestuur en medezeggenschap</w:t>
      </w:r>
      <w:bookmarkEnd w:id="0"/>
    </w:p>
    <w:p w:rsidR="00B32C0A" w:rsidRPr="009C5CB5" w:rsidRDefault="00B32C0A" w:rsidP="00B32C0A">
      <w:pPr>
        <w:spacing w:line="240" w:lineRule="auto"/>
        <w:jc w:val="both"/>
        <w:rPr>
          <w:sz w:val="8"/>
        </w:rPr>
      </w:pPr>
    </w:p>
    <w:p w:rsidR="00B32C0A" w:rsidRPr="009C5CB5" w:rsidRDefault="00B32C0A" w:rsidP="00B32C0A">
      <w:pPr>
        <w:spacing w:line="240" w:lineRule="auto"/>
        <w:jc w:val="both"/>
        <w:rPr>
          <w:sz w:val="8"/>
        </w:rPr>
        <w:sectPr w:rsidR="00B32C0A" w:rsidRPr="009C5CB5" w:rsidSect="00B32C0A">
          <w:footerReference w:type="default" r:id="rId8"/>
          <w:pgSz w:w="11906" w:h="16838"/>
          <w:pgMar w:top="1417" w:right="1274" w:bottom="1417" w:left="1276" w:header="708" w:footer="708" w:gutter="0"/>
          <w:cols w:space="708"/>
          <w:docGrid w:linePitch="360"/>
        </w:sectPr>
      </w:pPr>
    </w:p>
    <w:p w:rsidR="00B32C0A" w:rsidRPr="008B26AA" w:rsidRDefault="00B32C0A" w:rsidP="00B32C0A">
      <w:pPr>
        <w:pStyle w:val="Kop2"/>
        <w:numPr>
          <w:ilvl w:val="0"/>
          <w:numId w:val="0"/>
        </w:numPr>
        <w:tabs>
          <w:tab w:val="num" w:pos="709"/>
        </w:tabs>
        <w:spacing w:line="276" w:lineRule="auto"/>
        <w:ind w:left="709" w:hanging="709"/>
        <w:jc w:val="both"/>
        <w:rPr>
          <w:rFonts w:asciiTheme="majorHAnsi" w:hAnsiTheme="majorHAnsi"/>
          <w:sz w:val="18"/>
        </w:rPr>
      </w:pPr>
      <w:bookmarkStart w:id="2" w:name="_Toc452632259"/>
      <w:r w:rsidRPr="008B26AA">
        <w:rPr>
          <w:rFonts w:asciiTheme="majorHAnsi" w:hAnsiTheme="majorHAnsi"/>
          <w:sz w:val="18"/>
        </w:rPr>
        <w:t>1.4.1</w:t>
      </w:r>
      <w:r w:rsidRPr="008B26AA">
        <w:rPr>
          <w:rFonts w:asciiTheme="majorHAnsi" w:hAnsiTheme="majorHAnsi"/>
          <w:sz w:val="18"/>
        </w:rPr>
        <w:tab/>
      </w:r>
      <w:r>
        <w:rPr>
          <w:rFonts w:asciiTheme="majorHAnsi" w:hAnsiTheme="majorHAnsi"/>
          <w:sz w:val="18"/>
        </w:rPr>
        <w:t xml:space="preserve"> </w:t>
      </w:r>
      <w:r w:rsidRPr="008B26AA">
        <w:rPr>
          <w:rFonts w:asciiTheme="majorHAnsi" w:hAnsiTheme="majorHAnsi"/>
          <w:sz w:val="18"/>
        </w:rPr>
        <w:t>Normen voor goed bestuur</w:t>
      </w:r>
      <w:bookmarkEnd w:id="2"/>
    </w:p>
    <w:p w:rsidR="00B32C0A" w:rsidRPr="00B32C0A" w:rsidRDefault="00B32C0A" w:rsidP="00B32C0A">
      <w:pPr>
        <w:spacing w:line="276" w:lineRule="auto"/>
        <w:jc w:val="both"/>
        <w:rPr>
          <w:sz w:val="18"/>
          <w:szCs w:val="18"/>
        </w:rPr>
      </w:pPr>
      <w:r w:rsidRPr="00B32C0A">
        <w:rPr>
          <w:sz w:val="18"/>
          <w:szCs w:val="18"/>
        </w:rPr>
        <w:t>Stichting Dimence Groep heeft een raad van toezicht en een raad van bestuur. De taken, verantwoordelijkheden en bevoegdheden van zowel de raad van toezicht als de raad van bestuur zijn vastgelegd in de statuten van de stichting. In het reglement van de raad van toezicht en raad van bestuur zijn specifieke taken, verantwoordelijkheden en bevoegd-heden uitgewerkt in een reglement.</w:t>
      </w:r>
    </w:p>
    <w:p w:rsidR="00B32C0A" w:rsidRPr="00B32C0A" w:rsidRDefault="00B32C0A" w:rsidP="00B32C0A">
      <w:pPr>
        <w:spacing w:line="276" w:lineRule="auto"/>
        <w:jc w:val="both"/>
        <w:rPr>
          <w:sz w:val="18"/>
          <w:szCs w:val="18"/>
        </w:rPr>
      </w:pPr>
      <w:r w:rsidRPr="00B32C0A">
        <w:rPr>
          <w:sz w:val="18"/>
          <w:szCs w:val="18"/>
        </w:rPr>
        <w:t>De verdeling van de verantwoordelijkheden tussen de raad van toezicht en de raad van bestuur is schriftelijk vastgelegd en inzichtelijk gemaakt. Dit geldt ook voor de manier waarop eventuele conflicten tussen beide organen zijn geregeld.</w:t>
      </w:r>
    </w:p>
    <w:p w:rsidR="00B32C0A" w:rsidRPr="00B32C0A" w:rsidRDefault="00B32C0A" w:rsidP="00B32C0A">
      <w:pPr>
        <w:spacing w:line="276" w:lineRule="auto"/>
        <w:jc w:val="both"/>
        <w:rPr>
          <w:sz w:val="18"/>
          <w:szCs w:val="18"/>
        </w:rPr>
      </w:pPr>
      <w:r w:rsidRPr="00B32C0A">
        <w:rPr>
          <w:sz w:val="18"/>
          <w:szCs w:val="18"/>
        </w:rPr>
        <w:t xml:space="preserve">De Dimence Groep hanteert de principes van de Zorgbrede Governance Code en voldoet daar volledig aan. Op grond van deze code is besloten voor nieuw te benoemen leden van de raad van toezicht uit te gaan van een benoemingsperiode van vier jaar met de mogelijkheid voor een herbenoeming voor nog één periode van vier jaar. </w:t>
      </w:r>
    </w:p>
    <w:p w:rsidR="00B32C0A" w:rsidRPr="00B32C0A" w:rsidRDefault="00B32C0A" w:rsidP="00B32C0A">
      <w:pPr>
        <w:spacing w:line="276" w:lineRule="auto"/>
        <w:jc w:val="both"/>
        <w:rPr>
          <w:sz w:val="18"/>
          <w:szCs w:val="18"/>
        </w:rPr>
      </w:pPr>
      <w:r w:rsidRPr="00B32C0A">
        <w:rPr>
          <w:sz w:val="18"/>
          <w:szCs w:val="18"/>
        </w:rPr>
        <w:t xml:space="preserve">Voor zittende leden van de raad van toezicht geldt dit principe ook. Het is echter ook mogelijk om de zittingstermijn met een periode van vier jaar te verlengen als sprake is van risico’s voor de continuïteit van het toezicht. Daarmee wordt de continuïteit van de raad van toezicht of één van haar commissies bedoeld. </w:t>
      </w:r>
    </w:p>
    <w:p w:rsidR="00B32C0A" w:rsidRPr="00B32C0A" w:rsidRDefault="00B32C0A" w:rsidP="00B32C0A">
      <w:pPr>
        <w:spacing w:line="276" w:lineRule="auto"/>
        <w:jc w:val="both"/>
        <w:rPr>
          <w:sz w:val="18"/>
          <w:szCs w:val="18"/>
        </w:rPr>
      </w:pPr>
      <w:r w:rsidRPr="00B32C0A">
        <w:rPr>
          <w:sz w:val="18"/>
          <w:szCs w:val="18"/>
        </w:rPr>
        <w:t>In al zijn activiteiten is de Dimence Groep ambitieus waar het gaat om openheid, fatsoen en integriteit. Toch kunnen zich misstanden voordoen. De instelling van een klokkenluidersregeling stelt medewerkers in staat om een (vermeend) misstand in een vroeg stadium en op een veilige manier te melden. Hiervoor is een meldpunt klokkenluiders ingericht dat is belegd bij een externe vertrouwenspersoon. In het verslagjaar zijn geen meldingen gedaan.</w:t>
      </w:r>
    </w:p>
    <w:p w:rsidR="00B32C0A" w:rsidRPr="00B32C0A" w:rsidRDefault="00B32C0A" w:rsidP="00B32C0A">
      <w:pPr>
        <w:spacing w:line="276" w:lineRule="auto"/>
        <w:jc w:val="both"/>
        <w:rPr>
          <w:sz w:val="18"/>
          <w:szCs w:val="18"/>
        </w:rPr>
      </w:pPr>
      <w:r w:rsidRPr="00B32C0A">
        <w:rPr>
          <w:sz w:val="18"/>
          <w:szCs w:val="18"/>
        </w:rPr>
        <w:t xml:space="preserve">Eind 2014 is door de raad van bestuur de Gedragscode van de Dimence Groep vastgesteld. Vaststelling vond plaats na raadpleging van de organisatie en de Medezeggenschap. </w:t>
      </w:r>
    </w:p>
    <w:p w:rsidR="00B32C0A" w:rsidRPr="00B32C0A" w:rsidRDefault="00B32C0A" w:rsidP="00B32C0A">
      <w:pPr>
        <w:spacing w:line="276" w:lineRule="auto"/>
        <w:jc w:val="both"/>
        <w:rPr>
          <w:sz w:val="18"/>
          <w:szCs w:val="18"/>
        </w:rPr>
      </w:pPr>
    </w:p>
    <w:p w:rsidR="00B32C0A" w:rsidRPr="00B32C0A" w:rsidRDefault="00B32C0A" w:rsidP="00B32C0A">
      <w:pPr>
        <w:spacing w:line="276" w:lineRule="auto"/>
        <w:jc w:val="both"/>
        <w:rPr>
          <w:sz w:val="18"/>
          <w:szCs w:val="18"/>
        </w:rPr>
      </w:pPr>
      <w:r w:rsidRPr="00B32C0A">
        <w:rPr>
          <w:sz w:val="18"/>
          <w:szCs w:val="18"/>
        </w:rPr>
        <w:t xml:space="preserve">Het behoort tot de organisatiecultuur dat iedereen die werkzaamheden verricht voor de organisatie onze kernwaarden gebruikt als richtlijn bij het maken van keuzes, formuleren van doelstellingen en de realisatie daarvan. Dit is ongeacht of de werkzaamheden uitgevoerd worden op basis van een arbeidsovereenkomst. </w:t>
      </w:r>
    </w:p>
    <w:p w:rsidR="00B32C0A" w:rsidRPr="00B32C0A" w:rsidRDefault="00B32C0A" w:rsidP="00B32C0A">
      <w:pPr>
        <w:spacing w:line="276" w:lineRule="auto"/>
        <w:jc w:val="both"/>
        <w:rPr>
          <w:sz w:val="18"/>
          <w:szCs w:val="18"/>
        </w:rPr>
      </w:pPr>
      <w:r w:rsidRPr="00B32C0A">
        <w:rPr>
          <w:sz w:val="18"/>
          <w:szCs w:val="18"/>
        </w:rPr>
        <w:t>De gedragscode beschrijft deze kernwaarden, de normen en het daarbij gewenste gedrag. Daarmee vormt dit het uitgangspunt van waaruit iedereen keuzes maakt. De code biedt het kader waaraan medewerkers van de Dimence Groep hun eigen gedrag en dat van anderen kunnen toetsen.</w:t>
      </w:r>
    </w:p>
    <w:p w:rsidR="00B32C0A" w:rsidRPr="00B32C0A" w:rsidRDefault="00B32C0A" w:rsidP="00B32C0A">
      <w:pPr>
        <w:spacing w:line="276" w:lineRule="auto"/>
        <w:jc w:val="both"/>
        <w:rPr>
          <w:sz w:val="18"/>
          <w:szCs w:val="18"/>
        </w:rPr>
      </w:pPr>
      <w:r w:rsidRPr="00B32C0A">
        <w:rPr>
          <w:sz w:val="18"/>
          <w:szCs w:val="18"/>
        </w:rPr>
        <w:t>De gedragscode is op intranet gepubliceerd en in het handboek van de Dimence Groep opgenomen. Alle medewerkers zijn persoonlijk geïnformeerd over de gedragscode.</w:t>
      </w:r>
    </w:p>
    <w:p w:rsidR="00B32C0A" w:rsidRPr="00B32C0A" w:rsidRDefault="00B32C0A" w:rsidP="00B32C0A">
      <w:pPr>
        <w:pStyle w:val="Kop2"/>
        <w:numPr>
          <w:ilvl w:val="0"/>
          <w:numId w:val="0"/>
        </w:numPr>
        <w:tabs>
          <w:tab w:val="num" w:pos="709"/>
        </w:tabs>
        <w:spacing w:line="276" w:lineRule="auto"/>
        <w:ind w:left="709" w:hanging="709"/>
        <w:jc w:val="both"/>
        <w:rPr>
          <w:rFonts w:asciiTheme="majorHAnsi" w:hAnsiTheme="majorHAnsi"/>
          <w:sz w:val="18"/>
          <w:szCs w:val="18"/>
        </w:rPr>
      </w:pPr>
      <w:bookmarkStart w:id="3" w:name="_Toc448847597"/>
      <w:bookmarkStart w:id="4" w:name="_Toc452632260"/>
      <w:r w:rsidRPr="00B32C0A">
        <w:rPr>
          <w:rFonts w:asciiTheme="majorHAnsi" w:hAnsiTheme="majorHAnsi"/>
          <w:sz w:val="18"/>
          <w:szCs w:val="18"/>
        </w:rPr>
        <w:t>1.4.2</w:t>
      </w:r>
      <w:r w:rsidRPr="00B32C0A">
        <w:rPr>
          <w:rFonts w:asciiTheme="majorHAnsi" w:hAnsiTheme="majorHAnsi"/>
          <w:sz w:val="18"/>
          <w:szCs w:val="18"/>
        </w:rPr>
        <w:tab/>
        <w:t xml:space="preserve"> Raad van toezicht</w:t>
      </w:r>
      <w:bookmarkEnd w:id="3"/>
      <w:bookmarkEnd w:id="4"/>
    </w:p>
    <w:p w:rsidR="00B32C0A" w:rsidRPr="00B32C0A" w:rsidRDefault="00B32C0A" w:rsidP="00B32C0A">
      <w:pPr>
        <w:spacing w:line="276" w:lineRule="auto"/>
        <w:jc w:val="both"/>
        <w:rPr>
          <w:sz w:val="18"/>
          <w:szCs w:val="18"/>
        </w:rPr>
      </w:pPr>
      <w:r w:rsidRPr="00B32C0A">
        <w:rPr>
          <w:sz w:val="18"/>
          <w:szCs w:val="18"/>
        </w:rPr>
        <w:t xml:space="preserve">De raad van toezicht ziet toe op de strategie, de prestaties en de bedrijfsvoering van het concern, alsook op het goed functioneren van de raad van bestuur. </w:t>
      </w:r>
    </w:p>
    <w:p w:rsidR="00B32C0A" w:rsidRPr="00B32C0A" w:rsidRDefault="00B32C0A" w:rsidP="00B32C0A">
      <w:pPr>
        <w:spacing w:line="276" w:lineRule="auto"/>
        <w:jc w:val="both"/>
        <w:rPr>
          <w:sz w:val="18"/>
          <w:szCs w:val="18"/>
        </w:rPr>
      </w:pPr>
      <w:r w:rsidRPr="00B32C0A">
        <w:rPr>
          <w:sz w:val="18"/>
          <w:szCs w:val="18"/>
        </w:rPr>
        <w:t xml:space="preserve">Voor de raad van toezicht geldt een algemeen competentieprofiel. Hierin is beschreven welke kennis - en achtergrond - binnen de raad van toezicht aanwezig moet zijn. In dit profiel zijn ook de eisen beschreven die gesteld worden aan de individuele raadsleden ten aanzien van functioneren en onafhankelijkheid. Ook is vastgelegd dat alleen leden kunnen toetreden die op geen enkele manier een direct belang hebben bij de Dimence Groep. </w:t>
      </w:r>
    </w:p>
    <w:p w:rsidR="00B32C0A" w:rsidRPr="00B32C0A" w:rsidRDefault="00B32C0A" w:rsidP="00B32C0A">
      <w:pPr>
        <w:spacing w:line="276" w:lineRule="auto"/>
        <w:jc w:val="both"/>
        <w:rPr>
          <w:sz w:val="18"/>
          <w:szCs w:val="18"/>
        </w:rPr>
      </w:pPr>
      <w:r w:rsidRPr="00B32C0A">
        <w:rPr>
          <w:sz w:val="18"/>
          <w:szCs w:val="18"/>
        </w:rPr>
        <w:t xml:space="preserve">De raad van toezicht bestaat uit zes leden die allemaal lid zijn van de Nederlandse Vereniging van Toezichthouders in Zorg en Welzijn (hierna NVTZ). De leden ontvangen voor hun werkzaamheden een jaarlijkse vergoeding conform de richtlijn </w:t>
      </w:r>
      <w:r w:rsidRPr="00B32C0A">
        <w:rPr>
          <w:i/>
          <w:sz w:val="18"/>
          <w:szCs w:val="18"/>
        </w:rPr>
        <w:t>Honorering raden van toezicht van zorginstellingen</w:t>
      </w:r>
      <w:r w:rsidRPr="00B32C0A">
        <w:rPr>
          <w:sz w:val="18"/>
          <w:szCs w:val="18"/>
        </w:rPr>
        <w:t xml:space="preserve"> van de NVTZ. Deze vergoeding is vermeld in de jaarrekening.</w:t>
      </w:r>
    </w:p>
    <w:p w:rsidR="00B32C0A" w:rsidRPr="00B32C0A" w:rsidRDefault="00B32C0A" w:rsidP="00B32C0A">
      <w:pPr>
        <w:spacing w:line="276" w:lineRule="auto"/>
        <w:jc w:val="both"/>
        <w:rPr>
          <w:sz w:val="18"/>
          <w:szCs w:val="18"/>
        </w:rPr>
      </w:pPr>
      <w:r w:rsidRPr="00B32C0A">
        <w:rPr>
          <w:sz w:val="18"/>
          <w:szCs w:val="18"/>
        </w:rPr>
        <w:t xml:space="preserve">Een beschrijving van de samenstelling van de raad van toezicht en de functies van de leden binnen deze raad is opgenomen in bijlage 2. </w:t>
      </w:r>
    </w:p>
    <w:p w:rsidR="00B32C0A" w:rsidRDefault="00B32C0A" w:rsidP="00B32C0A">
      <w:pPr>
        <w:spacing w:line="276" w:lineRule="auto"/>
        <w:jc w:val="both"/>
        <w:rPr>
          <w:sz w:val="18"/>
          <w:szCs w:val="18"/>
        </w:rPr>
      </w:pPr>
      <w:r w:rsidRPr="00B32C0A">
        <w:rPr>
          <w:sz w:val="18"/>
          <w:szCs w:val="18"/>
        </w:rPr>
        <w:t xml:space="preserve">Ook biedt deze bijlage inzicht in de nevenfuncties van de leden en is het rooster van aan- en aftreden opgenomen. </w:t>
      </w:r>
      <w:r>
        <w:rPr>
          <w:sz w:val="18"/>
          <w:szCs w:val="18"/>
        </w:rPr>
        <w:t xml:space="preserve"> </w:t>
      </w:r>
    </w:p>
    <w:p w:rsidR="00B32C0A" w:rsidRPr="00AD5CF9" w:rsidRDefault="00B32C0A" w:rsidP="00B32C0A">
      <w:pPr>
        <w:spacing w:line="276" w:lineRule="auto"/>
        <w:jc w:val="both"/>
        <w:rPr>
          <w:i/>
          <w:color w:val="3C445E" w:themeColor="accent1" w:themeShade="BF"/>
        </w:rPr>
      </w:pPr>
      <w:r w:rsidRPr="00AD5CF9">
        <w:rPr>
          <w:i/>
          <w:color w:val="3C445E" w:themeColor="accent1" w:themeShade="BF"/>
        </w:rPr>
        <w:lastRenderedPageBreak/>
        <w:t>Overlegorganen</w:t>
      </w:r>
    </w:p>
    <w:p w:rsidR="00B32C0A" w:rsidRPr="00B32C0A" w:rsidRDefault="00B32C0A" w:rsidP="00B32C0A">
      <w:pPr>
        <w:spacing w:line="276" w:lineRule="auto"/>
        <w:jc w:val="both"/>
        <w:rPr>
          <w:sz w:val="18"/>
          <w:szCs w:val="18"/>
        </w:rPr>
      </w:pPr>
      <w:r w:rsidRPr="00B32C0A">
        <w:rPr>
          <w:sz w:val="18"/>
          <w:szCs w:val="18"/>
        </w:rPr>
        <w:t>De raad van toezicht maakt gebruik van diverse overlegorganen die hen in staat stelt om toezicht te houden op het concern vanuit een juiste balans tussen betrokkenheid en afstand. De overlegorganen zijn onderstaand toegelicht.</w:t>
      </w:r>
    </w:p>
    <w:p w:rsidR="00B32C0A" w:rsidRPr="00B32C0A" w:rsidRDefault="00B32C0A" w:rsidP="00B32C0A">
      <w:pPr>
        <w:pStyle w:val="Lijstalinea"/>
        <w:numPr>
          <w:ilvl w:val="0"/>
          <w:numId w:val="2"/>
        </w:numPr>
        <w:pBdr>
          <w:bottom w:val="single" w:sz="8" w:space="1" w:color="3C445E" w:themeColor="accent1" w:themeShade="BF"/>
        </w:pBdr>
        <w:spacing w:line="276" w:lineRule="auto"/>
        <w:ind w:left="426"/>
        <w:jc w:val="both"/>
        <w:rPr>
          <w:i/>
          <w:color w:val="3C445E" w:themeColor="accent1" w:themeShade="BF"/>
          <w:szCs w:val="18"/>
        </w:rPr>
      </w:pPr>
      <w:r w:rsidRPr="00B32C0A">
        <w:rPr>
          <w:i/>
          <w:color w:val="3C445E" w:themeColor="accent1" w:themeShade="BF"/>
          <w:szCs w:val="18"/>
        </w:rPr>
        <w:t>Reguliere vergadering</w:t>
      </w:r>
    </w:p>
    <w:p w:rsidR="00B32C0A" w:rsidRPr="00B32C0A" w:rsidRDefault="00B32C0A" w:rsidP="00B32C0A">
      <w:pPr>
        <w:spacing w:line="276" w:lineRule="auto"/>
        <w:jc w:val="both"/>
        <w:rPr>
          <w:sz w:val="18"/>
          <w:szCs w:val="18"/>
        </w:rPr>
      </w:pPr>
      <w:r w:rsidRPr="00B32C0A">
        <w:rPr>
          <w:sz w:val="18"/>
          <w:szCs w:val="18"/>
        </w:rPr>
        <w:t xml:space="preserve">De raad van toezicht heeft in 2015 acht keer vergaderd. Twee van deze vergaderingen waren gedeeltelijk zonder raad van bestuur. </w:t>
      </w:r>
    </w:p>
    <w:p w:rsidR="00B32C0A" w:rsidRPr="00B32C0A" w:rsidRDefault="00B32C0A" w:rsidP="00B32C0A">
      <w:pPr>
        <w:spacing w:line="276" w:lineRule="auto"/>
        <w:jc w:val="both"/>
        <w:rPr>
          <w:sz w:val="18"/>
          <w:szCs w:val="18"/>
        </w:rPr>
      </w:pPr>
      <w:r w:rsidRPr="00B32C0A">
        <w:rPr>
          <w:sz w:val="18"/>
          <w:szCs w:val="18"/>
        </w:rPr>
        <w:t>Algemene en bestuurlijke zaken zijn samen met risicomanagement vaste onderwerpen op de agenda. Bij de bespreking van de jaarrekening en de managementletter was de accountant aanwezig.</w:t>
      </w:r>
    </w:p>
    <w:p w:rsidR="00B32C0A" w:rsidRPr="00B32C0A" w:rsidRDefault="00B32C0A" w:rsidP="00B32C0A">
      <w:pPr>
        <w:pStyle w:val="Lijstalinea"/>
        <w:numPr>
          <w:ilvl w:val="0"/>
          <w:numId w:val="2"/>
        </w:numPr>
        <w:pBdr>
          <w:bottom w:val="single" w:sz="8" w:space="1" w:color="3C445E" w:themeColor="accent1" w:themeShade="BF"/>
        </w:pBdr>
        <w:spacing w:line="276" w:lineRule="auto"/>
        <w:ind w:left="426"/>
        <w:jc w:val="both"/>
        <w:rPr>
          <w:i/>
          <w:color w:val="3C445E" w:themeColor="accent1" w:themeShade="BF"/>
          <w:szCs w:val="18"/>
        </w:rPr>
      </w:pPr>
      <w:r w:rsidRPr="00B32C0A">
        <w:rPr>
          <w:i/>
          <w:color w:val="3C445E" w:themeColor="accent1" w:themeShade="BF"/>
          <w:szCs w:val="18"/>
        </w:rPr>
        <w:t xml:space="preserve">Presidium / Voorzitterschap </w:t>
      </w:r>
    </w:p>
    <w:p w:rsidR="00B32C0A" w:rsidRPr="00B32C0A" w:rsidRDefault="00B32C0A" w:rsidP="00B32C0A">
      <w:pPr>
        <w:spacing w:line="276" w:lineRule="auto"/>
        <w:jc w:val="both"/>
        <w:rPr>
          <w:sz w:val="18"/>
          <w:szCs w:val="18"/>
        </w:rPr>
      </w:pPr>
      <w:r w:rsidRPr="00B32C0A">
        <w:rPr>
          <w:sz w:val="18"/>
          <w:szCs w:val="18"/>
        </w:rPr>
        <w:t>Samen met de raad van bestuur bereidt het Presidium de vergaderingen van de raad van toezicht voor. Het Presidium bestond in 2015 uit de heer van Kesteren en de heer Terpstra. Respectievelijk waren zij de voorzitter en de vicevoorzitter van de raad van toezicht.</w:t>
      </w:r>
    </w:p>
    <w:p w:rsidR="00B32C0A" w:rsidRPr="00B32C0A" w:rsidRDefault="00B32C0A" w:rsidP="00B32C0A">
      <w:pPr>
        <w:spacing w:line="276" w:lineRule="auto"/>
        <w:jc w:val="both"/>
        <w:rPr>
          <w:sz w:val="18"/>
          <w:szCs w:val="18"/>
        </w:rPr>
      </w:pPr>
      <w:r w:rsidRPr="00B32C0A">
        <w:rPr>
          <w:sz w:val="18"/>
          <w:szCs w:val="18"/>
        </w:rPr>
        <w:t xml:space="preserve">Naast de reguliere vergaderingen voerde het presidium functioneringsgesprekken met de afzonderlijke leden van de raad van bestuur. Daarnaast is ook een gezamenlijk functioneringsgesprek gevoerd met de raad van bestuur. Als voorbereiding op deze gesprekken zijn gesprekken gevoerd met de ondernemingsraad (OR), de Centrale Cliëntenraad (CCR) en een delegatie van het management met als doel inzicht te krijgen in het functioneren van de raad van bestuur. </w:t>
      </w:r>
    </w:p>
    <w:p w:rsidR="00B32C0A" w:rsidRPr="00B32C0A" w:rsidRDefault="00B32C0A" w:rsidP="00B32C0A">
      <w:pPr>
        <w:pStyle w:val="Lijstalinea"/>
        <w:numPr>
          <w:ilvl w:val="0"/>
          <w:numId w:val="2"/>
        </w:numPr>
        <w:pBdr>
          <w:bottom w:val="single" w:sz="8" w:space="1" w:color="3C445E" w:themeColor="accent1" w:themeShade="BF"/>
        </w:pBdr>
        <w:spacing w:line="276" w:lineRule="auto"/>
        <w:ind w:left="426"/>
        <w:jc w:val="both"/>
        <w:rPr>
          <w:i/>
          <w:color w:val="3C445E" w:themeColor="accent1" w:themeShade="BF"/>
          <w:szCs w:val="18"/>
        </w:rPr>
      </w:pPr>
      <w:r w:rsidRPr="00B32C0A">
        <w:rPr>
          <w:i/>
          <w:color w:val="3C445E" w:themeColor="accent1" w:themeShade="BF"/>
          <w:szCs w:val="18"/>
        </w:rPr>
        <w:t>Auditcommissie</w:t>
      </w:r>
    </w:p>
    <w:p w:rsidR="00B32C0A" w:rsidRPr="00B32C0A" w:rsidRDefault="00B32C0A" w:rsidP="00B32C0A">
      <w:pPr>
        <w:spacing w:line="276" w:lineRule="auto"/>
        <w:jc w:val="both"/>
        <w:rPr>
          <w:sz w:val="18"/>
          <w:szCs w:val="18"/>
        </w:rPr>
      </w:pPr>
      <w:r w:rsidRPr="00B32C0A">
        <w:rPr>
          <w:sz w:val="18"/>
          <w:szCs w:val="18"/>
        </w:rPr>
        <w:t xml:space="preserve">De Auditcommissie bewaakt financiële en budgettaire zaken en adviseert daarover aan de raad van toezicht. In dit verslagjaar waren de heer Reintjes en de heer Haringsma lid van de Auditcommissie. </w:t>
      </w:r>
    </w:p>
    <w:p w:rsidR="00B32C0A" w:rsidRPr="00B32C0A" w:rsidRDefault="00B32C0A" w:rsidP="00B32C0A">
      <w:pPr>
        <w:spacing w:line="276" w:lineRule="auto"/>
        <w:jc w:val="both"/>
        <w:rPr>
          <w:iCs/>
          <w:sz w:val="18"/>
          <w:szCs w:val="18"/>
        </w:rPr>
      </w:pPr>
      <w:r w:rsidRPr="00B32C0A">
        <w:rPr>
          <w:sz w:val="18"/>
          <w:szCs w:val="18"/>
        </w:rPr>
        <w:t xml:space="preserve">De accountant is twee keer per jaar aanwezig bij het overleg van de Auditcommissie. </w:t>
      </w:r>
      <w:r w:rsidRPr="00B32C0A">
        <w:rPr>
          <w:iCs/>
          <w:sz w:val="18"/>
          <w:szCs w:val="18"/>
        </w:rPr>
        <w:t>Namens de raad van bestuur neemt de heer Klunder deel in deze commissie.</w:t>
      </w:r>
    </w:p>
    <w:p w:rsidR="00B32C0A" w:rsidRPr="00B32C0A" w:rsidRDefault="00B32C0A" w:rsidP="00B32C0A">
      <w:pPr>
        <w:spacing w:line="276" w:lineRule="auto"/>
        <w:jc w:val="both"/>
        <w:rPr>
          <w:iCs/>
          <w:sz w:val="18"/>
          <w:szCs w:val="18"/>
        </w:rPr>
      </w:pPr>
    </w:p>
    <w:p w:rsidR="00B32C0A" w:rsidRDefault="00B32C0A" w:rsidP="00B32C0A">
      <w:pPr>
        <w:spacing w:line="276" w:lineRule="auto"/>
        <w:jc w:val="both"/>
        <w:rPr>
          <w:iCs/>
        </w:rPr>
      </w:pPr>
    </w:p>
    <w:p w:rsidR="00B32C0A" w:rsidRDefault="00B32C0A" w:rsidP="00B32C0A">
      <w:pPr>
        <w:spacing w:line="276" w:lineRule="auto"/>
        <w:jc w:val="both"/>
        <w:rPr>
          <w:iCs/>
        </w:rPr>
      </w:pPr>
    </w:p>
    <w:p w:rsidR="00B32C0A" w:rsidRPr="004B60E1" w:rsidRDefault="00B32C0A" w:rsidP="00B32C0A">
      <w:pPr>
        <w:spacing w:line="276" w:lineRule="auto"/>
        <w:jc w:val="both"/>
        <w:rPr>
          <w:iCs/>
        </w:rPr>
      </w:pPr>
    </w:p>
    <w:p w:rsidR="00B32C0A" w:rsidRPr="00F8709F" w:rsidRDefault="00B32C0A" w:rsidP="00B32C0A">
      <w:pPr>
        <w:pStyle w:val="Lijstalinea"/>
        <w:numPr>
          <w:ilvl w:val="0"/>
          <w:numId w:val="2"/>
        </w:numPr>
        <w:pBdr>
          <w:bottom w:val="single" w:sz="8" w:space="1" w:color="3C445E" w:themeColor="accent1" w:themeShade="BF"/>
        </w:pBdr>
        <w:spacing w:line="276" w:lineRule="auto"/>
        <w:ind w:left="426"/>
        <w:jc w:val="both"/>
        <w:rPr>
          <w:i/>
          <w:color w:val="3C445E" w:themeColor="accent1" w:themeShade="BF"/>
        </w:rPr>
      </w:pPr>
      <w:r w:rsidRPr="00F8709F">
        <w:rPr>
          <w:i/>
          <w:color w:val="3C445E" w:themeColor="accent1" w:themeShade="BF"/>
        </w:rPr>
        <w:t>Commissie Kwaliteit en Veiligheid</w:t>
      </w:r>
    </w:p>
    <w:p w:rsidR="00B32C0A" w:rsidRPr="00B32C0A" w:rsidRDefault="00B32C0A" w:rsidP="00B32C0A">
      <w:pPr>
        <w:spacing w:line="276" w:lineRule="auto"/>
        <w:jc w:val="both"/>
        <w:rPr>
          <w:sz w:val="18"/>
          <w:szCs w:val="18"/>
        </w:rPr>
      </w:pPr>
      <w:r w:rsidRPr="00B32C0A">
        <w:rPr>
          <w:sz w:val="18"/>
          <w:szCs w:val="18"/>
        </w:rPr>
        <w:t>Deze commissie heeft het doel meer kwalitatieve onderwerpen toe te voegen aan de dialoog tussen de raad van toezicht en raad van bestuur. Mevrouw Wallinga en de heer Bruggeman hebben zitting in deze commissie. Namens de raad van bestuur neemt mevrouw van der Wal deel aan de commissie.</w:t>
      </w:r>
    </w:p>
    <w:p w:rsidR="00B32C0A" w:rsidRPr="00B32C0A" w:rsidRDefault="00B32C0A" w:rsidP="00B32C0A">
      <w:pPr>
        <w:pStyle w:val="Lijstalinea"/>
        <w:numPr>
          <w:ilvl w:val="0"/>
          <w:numId w:val="2"/>
        </w:numPr>
        <w:pBdr>
          <w:bottom w:val="single" w:sz="8" w:space="1" w:color="3C445E" w:themeColor="accent1" w:themeShade="BF"/>
        </w:pBdr>
        <w:spacing w:line="240" w:lineRule="auto"/>
        <w:ind w:left="426"/>
        <w:jc w:val="both"/>
        <w:rPr>
          <w:i/>
          <w:color w:val="3C445E" w:themeColor="accent1" w:themeShade="BF"/>
          <w:szCs w:val="18"/>
        </w:rPr>
      </w:pPr>
      <w:r w:rsidRPr="00B32C0A">
        <w:rPr>
          <w:i/>
          <w:color w:val="3C445E" w:themeColor="accent1" w:themeShade="BF"/>
          <w:szCs w:val="18"/>
        </w:rPr>
        <w:t>Ondernemingsraad en Centrale Cliëntenraad</w:t>
      </w:r>
    </w:p>
    <w:p w:rsidR="00B32C0A" w:rsidRPr="00B32C0A" w:rsidRDefault="00B32C0A" w:rsidP="00B32C0A">
      <w:pPr>
        <w:spacing w:line="276" w:lineRule="auto"/>
        <w:jc w:val="both"/>
        <w:rPr>
          <w:sz w:val="18"/>
          <w:szCs w:val="18"/>
        </w:rPr>
      </w:pPr>
      <w:r w:rsidRPr="00B32C0A">
        <w:rPr>
          <w:sz w:val="18"/>
          <w:szCs w:val="18"/>
        </w:rPr>
        <w:t>Een delegatie van de raad van toezicht woont twee keer per jaar een vergadering bij van de raad van bestuur met de Centrale Cliëntenraad (CCR) en met de ondernemingsraad. Tijdens deze vergaderingen wordt in ieder geval de samenwerking tussen de raad van bestuur en de medezeggenschap geëvalueerd.</w:t>
      </w:r>
    </w:p>
    <w:p w:rsidR="00B32C0A" w:rsidRPr="00B32C0A" w:rsidRDefault="00B32C0A" w:rsidP="00B32C0A">
      <w:pPr>
        <w:pStyle w:val="Lijstalinea"/>
        <w:numPr>
          <w:ilvl w:val="0"/>
          <w:numId w:val="2"/>
        </w:numPr>
        <w:pBdr>
          <w:bottom w:val="single" w:sz="8" w:space="1" w:color="3C445E" w:themeColor="accent1" w:themeShade="BF"/>
        </w:pBdr>
        <w:spacing w:line="276" w:lineRule="auto"/>
        <w:ind w:left="426"/>
        <w:jc w:val="both"/>
        <w:rPr>
          <w:i/>
          <w:color w:val="3C445E" w:themeColor="accent1" w:themeShade="BF"/>
          <w:szCs w:val="18"/>
        </w:rPr>
      </w:pPr>
      <w:r w:rsidRPr="00B32C0A">
        <w:rPr>
          <w:i/>
          <w:color w:val="3C445E" w:themeColor="accent1" w:themeShade="BF"/>
          <w:szCs w:val="18"/>
        </w:rPr>
        <w:t>Evaluatie functioneren</w:t>
      </w:r>
    </w:p>
    <w:p w:rsidR="00B32C0A" w:rsidRPr="00B32C0A" w:rsidRDefault="00B32C0A" w:rsidP="00B32C0A">
      <w:pPr>
        <w:spacing w:line="276" w:lineRule="auto"/>
        <w:jc w:val="both"/>
        <w:rPr>
          <w:sz w:val="18"/>
          <w:szCs w:val="18"/>
        </w:rPr>
      </w:pPr>
      <w:r w:rsidRPr="00B32C0A">
        <w:rPr>
          <w:sz w:val="18"/>
          <w:szCs w:val="18"/>
        </w:rPr>
        <w:t xml:space="preserve">Jaarlijks evalueert de raad van toezicht haar eigen functioneren en dat van de raad van bestuur. Op basis van deze evaluatie vindt een functioneringsgesprek plaats met de raad van bestuur. Na dit gesprek evalueren beide organen het onderling functioneren. </w:t>
      </w:r>
    </w:p>
    <w:p w:rsidR="00B32C0A" w:rsidRPr="00B32C0A" w:rsidRDefault="00B32C0A" w:rsidP="00B32C0A">
      <w:pPr>
        <w:spacing w:line="276" w:lineRule="auto"/>
        <w:jc w:val="both"/>
        <w:rPr>
          <w:iCs/>
          <w:sz w:val="18"/>
          <w:szCs w:val="18"/>
        </w:rPr>
      </w:pPr>
      <w:r w:rsidRPr="00B32C0A">
        <w:rPr>
          <w:iCs/>
          <w:sz w:val="18"/>
          <w:szCs w:val="18"/>
        </w:rPr>
        <w:t>Om zich op de hoogte te houden van relevante ontwikkelingen nemen de leden van de raad van toezicht met enige regelmaat deel aan workshops en symposia. Jaarlijks wordt een dag uitgetrokken om een bezoek te brengen aan een of meerdere locaties om een goede verbinding met de organisatie te krijgen.</w:t>
      </w:r>
    </w:p>
    <w:p w:rsidR="00B32C0A" w:rsidRPr="00B32C0A" w:rsidRDefault="00B32C0A" w:rsidP="00B32C0A">
      <w:pPr>
        <w:spacing w:line="276" w:lineRule="auto"/>
        <w:jc w:val="both"/>
        <w:rPr>
          <w:iCs/>
          <w:sz w:val="18"/>
          <w:szCs w:val="18"/>
        </w:rPr>
      </w:pPr>
      <w:r w:rsidRPr="00B32C0A">
        <w:rPr>
          <w:iCs/>
          <w:sz w:val="18"/>
          <w:szCs w:val="18"/>
        </w:rPr>
        <w:t>Leden van de raad van toezicht zijn geabonneerd op de wekelijkse nieuwsbrieven van Zorgvisie en de nieuwsbrief van GGZ-Nederland.</w:t>
      </w:r>
      <w:r>
        <w:rPr>
          <w:iCs/>
        </w:rPr>
        <w:t xml:space="preserve"> </w:t>
      </w:r>
      <w:r w:rsidRPr="00B32C0A">
        <w:rPr>
          <w:iCs/>
          <w:sz w:val="18"/>
          <w:szCs w:val="18"/>
        </w:rPr>
        <w:t>Daarnaast voorziet de raad van bestuur de leden van de raad van toezicht met grote regelmaat van actuele informatie en nieuwsberichten vanuit de ggz die voor de raad van toezicht van belang zijn.</w:t>
      </w:r>
    </w:p>
    <w:p w:rsidR="00B32C0A" w:rsidRPr="00B32C0A" w:rsidRDefault="00B32C0A" w:rsidP="00B32C0A">
      <w:pPr>
        <w:spacing w:line="276" w:lineRule="auto"/>
        <w:jc w:val="both"/>
        <w:rPr>
          <w:sz w:val="18"/>
          <w:szCs w:val="18"/>
        </w:rPr>
      </w:pPr>
    </w:p>
    <w:p w:rsidR="00B32C0A" w:rsidRPr="00B32C0A" w:rsidRDefault="00B32C0A" w:rsidP="00B32C0A">
      <w:pPr>
        <w:pStyle w:val="Kop2"/>
        <w:numPr>
          <w:ilvl w:val="0"/>
          <w:numId w:val="0"/>
        </w:numPr>
        <w:tabs>
          <w:tab w:val="num" w:pos="709"/>
        </w:tabs>
        <w:spacing w:line="276" w:lineRule="auto"/>
        <w:ind w:left="709" w:hanging="709"/>
        <w:jc w:val="both"/>
        <w:rPr>
          <w:rFonts w:asciiTheme="majorHAnsi" w:hAnsiTheme="majorHAnsi"/>
          <w:sz w:val="18"/>
          <w:szCs w:val="18"/>
        </w:rPr>
      </w:pPr>
      <w:bookmarkStart w:id="5" w:name="_Toc448847598"/>
      <w:bookmarkStart w:id="6" w:name="_Toc452632261"/>
      <w:r w:rsidRPr="00B32C0A">
        <w:rPr>
          <w:rFonts w:asciiTheme="majorHAnsi" w:hAnsiTheme="majorHAnsi"/>
          <w:sz w:val="18"/>
          <w:szCs w:val="18"/>
        </w:rPr>
        <w:t>1.4.3</w:t>
      </w:r>
      <w:r w:rsidRPr="00B32C0A">
        <w:rPr>
          <w:rFonts w:asciiTheme="majorHAnsi" w:hAnsiTheme="majorHAnsi"/>
          <w:sz w:val="18"/>
          <w:szCs w:val="18"/>
        </w:rPr>
        <w:tab/>
        <w:t xml:space="preserve"> Raad van bestuur</w:t>
      </w:r>
      <w:bookmarkEnd w:id="5"/>
      <w:bookmarkEnd w:id="6"/>
    </w:p>
    <w:p w:rsidR="00B32C0A" w:rsidRPr="00B32C0A" w:rsidRDefault="00B32C0A" w:rsidP="00B32C0A">
      <w:pPr>
        <w:spacing w:line="276" w:lineRule="auto"/>
        <w:jc w:val="both"/>
        <w:rPr>
          <w:sz w:val="18"/>
          <w:szCs w:val="18"/>
        </w:rPr>
      </w:pPr>
      <w:r w:rsidRPr="00B32C0A">
        <w:rPr>
          <w:sz w:val="18"/>
          <w:szCs w:val="18"/>
        </w:rPr>
        <w:t>Statutair is vastgelegd dat de raad van bestuur belast is met de besturing van de Dimence Groep. Daarin draagt zij ook de eindverantwoordelijkheid. In 2015 bestond de raad van bestuur uit de heer Klunder en mevrouw van der Wal.</w:t>
      </w:r>
    </w:p>
    <w:p w:rsidR="00B32C0A" w:rsidRDefault="00B32C0A" w:rsidP="00B32C0A">
      <w:pPr>
        <w:spacing w:line="240" w:lineRule="auto"/>
        <w:sectPr w:rsidR="00B32C0A" w:rsidSect="00D91EE7">
          <w:footerReference w:type="default" r:id="rId9"/>
          <w:type w:val="continuous"/>
          <w:pgSz w:w="11906" w:h="16838"/>
          <w:pgMar w:top="1418" w:right="1247" w:bottom="1418" w:left="1247" w:header="709" w:footer="709" w:gutter="0"/>
          <w:cols w:num="2" w:space="708"/>
          <w:docGrid w:linePitch="360"/>
        </w:sectPr>
      </w:pPr>
    </w:p>
    <w:p w:rsidR="007D3EC0" w:rsidRDefault="007D3EC0" w:rsidP="00B32C0A">
      <w:pPr>
        <w:spacing w:line="276" w:lineRule="auto"/>
        <w:jc w:val="both"/>
        <w:rPr>
          <w:i/>
          <w:sz w:val="16"/>
        </w:rPr>
      </w:pPr>
    </w:p>
    <w:p w:rsidR="007D3EC0" w:rsidRDefault="007D3EC0" w:rsidP="00B32C0A">
      <w:pPr>
        <w:spacing w:line="276" w:lineRule="auto"/>
        <w:jc w:val="both"/>
        <w:rPr>
          <w:i/>
          <w:sz w:val="16"/>
        </w:rPr>
      </w:pPr>
    </w:p>
    <w:p w:rsidR="00B32C0A" w:rsidRPr="003041F0" w:rsidRDefault="00B32C0A" w:rsidP="00B32C0A">
      <w:pPr>
        <w:spacing w:line="276" w:lineRule="auto"/>
        <w:jc w:val="both"/>
      </w:pPr>
      <w:r>
        <w:rPr>
          <w:i/>
          <w:sz w:val="16"/>
        </w:rPr>
        <w:lastRenderedPageBreak/>
        <w:t>Tabel 9</w:t>
      </w:r>
      <w:r w:rsidRPr="003041F0">
        <w:rPr>
          <w:i/>
          <w:sz w:val="16"/>
        </w:rPr>
        <w:t xml:space="preserve">, Aandachtsgebieden </w:t>
      </w:r>
      <w:r>
        <w:rPr>
          <w:i/>
          <w:sz w:val="16"/>
        </w:rPr>
        <w:t>r</w:t>
      </w:r>
      <w:r w:rsidRPr="003041F0">
        <w:rPr>
          <w:i/>
          <w:sz w:val="16"/>
        </w:rPr>
        <w:t xml:space="preserve">aad van </w:t>
      </w:r>
      <w:r>
        <w:rPr>
          <w:i/>
          <w:sz w:val="16"/>
        </w:rPr>
        <w:t>b</w:t>
      </w:r>
      <w:r w:rsidRPr="003041F0">
        <w:rPr>
          <w:i/>
          <w:sz w:val="16"/>
          <w:szCs w:val="16"/>
        </w:rPr>
        <w:t>estuur (1)</w:t>
      </w:r>
    </w:p>
    <w:p w:rsidR="00B32C0A" w:rsidRDefault="00B32C0A" w:rsidP="00B32C0A">
      <w:pPr>
        <w:spacing w:line="240" w:lineRule="auto"/>
      </w:pPr>
      <w:r w:rsidRPr="00D865C2">
        <w:rPr>
          <w:noProof/>
          <w:lang w:eastAsia="nl-NL"/>
        </w:rPr>
        <w:drawing>
          <wp:inline distT="0" distB="0" distL="0" distR="0" wp14:anchorId="0F6392C8" wp14:editId="7A02B920">
            <wp:extent cx="2867025" cy="1803749"/>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1802" cy="1806754"/>
                    </a:xfrm>
                    <a:prstGeom prst="rect">
                      <a:avLst/>
                    </a:prstGeom>
                    <a:noFill/>
                    <a:ln>
                      <a:noFill/>
                    </a:ln>
                  </pic:spPr>
                </pic:pic>
              </a:graphicData>
            </a:graphic>
          </wp:inline>
        </w:drawing>
      </w:r>
    </w:p>
    <w:p w:rsidR="00B32C0A" w:rsidRPr="002D54C9" w:rsidRDefault="00B32C0A" w:rsidP="00B32C0A">
      <w:pPr>
        <w:spacing w:line="276" w:lineRule="auto"/>
        <w:jc w:val="both"/>
        <w:rPr>
          <w:sz w:val="2"/>
        </w:rPr>
        <w:sectPr w:rsidR="00B32C0A" w:rsidRPr="002D54C9" w:rsidSect="009E34A4">
          <w:type w:val="continuous"/>
          <w:pgSz w:w="11906" w:h="16838"/>
          <w:pgMar w:top="1418" w:right="1247" w:bottom="1418" w:left="1247" w:header="709" w:footer="709" w:gutter="0"/>
          <w:cols w:num="2" w:space="708"/>
          <w:docGrid w:linePitch="360"/>
        </w:sectPr>
      </w:pPr>
      <w:r>
        <w:rPr>
          <w:i/>
          <w:sz w:val="16"/>
        </w:rPr>
        <w:t>Tabel 10, Aandachtsgebieden r</w:t>
      </w:r>
      <w:r w:rsidRPr="003041F0">
        <w:rPr>
          <w:i/>
          <w:sz w:val="16"/>
        </w:rPr>
        <w:t xml:space="preserve">aad van </w:t>
      </w:r>
      <w:r>
        <w:rPr>
          <w:i/>
          <w:sz w:val="16"/>
        </w:rPr>
        <w:t>b</w:t>
      </w:r>
      <w:r w:rsidRPr="003041F0">
        <w:rPr>
          <w:i/>
          <w:sz w:val="16"/>
        </w:rPr>
        <w:t>estuur (2)</w:t>
      </w:r>
      <w:r w:rsidRPr="003041F0">
        <w:t xml:space="preserve"> </w:t>
      </w:r>
      <w:r w:rsidRPr="003041F0">
        <w:rPr>
          <w:noProof/>
          <w:lang w:eastAsia="nl-NL"/>
        </w:rPr>
        <w:drawing>
          <wp:inline distT="0" distB="0" distL="0" distR="0" wp14:anchorId="558502D9" wp14:editId="6ACB3358">
            <wp:extent cx="2876550" cy="1705431"/>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5941" cy="1710999"/>
                    </a:xfrm>
                    <a:prstGeom prst="rect">
                      <a:avLst/>
                    </a:prstGeom>
                    <a:noFill/>
                    <a:ln>
                      <a:noFill/>
                    </a:ln>
                  </pic:spPr>
                </pic:pic>
              </a:graphicData>
            </a:graphic>
          </wp:inline>
        </w:drawing>
      </w:r>
      <w:r w:rsidRPr="00570BEB">
        <w:rPr>
          <w:color w:val="C00000"/>
        </w:rPr>
        <w:t xml:space="preserve"> </w:t>
      </w:r>
      <w:r w:rsidRPr="002D54C9">
        <w:rPr>
          <w:sz w:val="2"/>
        </w:rPr>
        <w:t xml:space="preserve"> </w:t>
      </w:r>
    </w:p>
    <w:p w:rsidR="00B32C0A" w:rsidRPr="003C755A" w:rsidRDefault="00B32C0A" w:rsidP="00B32C0A">
      <w:pPr>
        <w:pBdr>
          <w:bottom w:val="single" w:sz="12" w:space="1" w:color="3C445E" w:themeColor="accent1" w:themeShade="BF"/>
        </w:pBdr>
        <w:spacing w:line="240" w:lineRule="auto"/>
        <w:rPr>
          <w:sz w:val="6"/>
          <w:szCs w:val="2"/>
        </w:rPr>
      </w:pPr>
    </w:p>
    <w:p w:rsidR="00B32C0A" w:rsidRPr="003C755A" w:rsidRDefault="00B32C0A" w:rsidP="00B32C0A">
      <w:pPr>
        <w:spacing w:line="240" w:lineRule="auto"/>
        <w:rPr>
          <w:szCs w:val="18"/>
        </w:rPr>
      </w:pPr>
    </w:p>
    <w:p w:rsidR="00B32C0A" w:rsidRPr="003C755A" w:rsidRDefault="00B32C0A" w:rsidP="00B32C0A">
      <w:pPr>
        <w:spacing w:line="240" w:lineRule="auto"/>
        <w:rPr>
          <w:szCs w:val="18"/>
        </w:rPr>
        <w:sectPr w:rsidR="00B32C0A" w:rsidRPr="003C755A" w:rsidSect="009E34A4">
          <w:type w:val="continuous"/>
          <w:pgSz w:w="11906" w:h="16838"/>
          <w:pgMar w:top="1418" w:right="1247" w:bottom="1418" w:left="1247" w:header="709" w:footer="709" w:gutter="0"/>
          <w:cols w:space="708"/>
          <w:docGrid w:linePitch="360"/>
        </w:sectPr>
      </w:pPr>
    </w:p>
    <w:p w:rsidR="00B32C0A" w:rsidRPr="00B32C0A" w:rsidRDefault="00B32C0A" w:rsidP="00B32C0A">
      <w:pPr>
        <w:spacing w:line="276" w:lineRule="auto"/>
        <w:jc w:val="both"/>
        <w:rPr>
          <w:sz w:val="18"/>
          <w:szCs w:val="18"/>
        </w:rPr>
      </w:pPr>
      <w:r w:rsidRPr="00B32C0A">
        <w:rPr>
          <w:sz w:val="18"/>
          <w:szCs w:val="18"/>
        </w:rPr>
        <w:t>De raad van bestuur bestuurt op strategische, financiële, inhoudelijke en organisatorische aangelegenheden. Er wordt gewerkt met een portefeuilleverdeling en aandachtsgebieden. Er blijft echter sprake van een integrale verantwoordelijkheid. Tabel 9 en 10 geven inzicht in de aandachtsgebieden van de bestuursleden.</w:t>
      </w:r>
    </w:p>
    <w:p w:rsidR="00B32C0A" w:rsidRPr="00B32C0A" w:rsidRDefault="00B32C0A" w:rsidP="00B32C0A">
      <w:pPr>
        <w:spacing w:line="276" w:lineRule="auto"/>
        <w:jc w:val="both"/>
        <w:rPr>
          <w:sz w:val="18"/>
          <w:szCs w:val="18"/>
        </w:rPr>
      </w:pPr>
      <w:r w:rsidRPr="00B32C0A">
        <w:rPr>
          <w:sz w:val="18"/>
          <w:szCs w:val="18"/>
        </w:rPr>
        <w:t xml:space="preserve">Voor de leden van de raad van bestuur zijn de afspraken over de functie, arbeidsvoorwaarden en de gevolgen van een tussentijdse beëindiging van de arbeidsovereenkomst gebaseerd op de Wet normering topinkomens (WNT), de Nederlandse Vereniging van Toezichthouders in Zorg en Welzijn (NVTZ) en de beroepsvereniging voor bestuurders in de zorg (NVZD). </w:t>
      </w:r>
    </w:p>
    <w:p w:rsidR="00B32C0A" w:rsidRPr="00B32C0A" w:rsidRDefault="00B32C0A" w:rsidP="00B32C0A">
      <w:pPr>
        <w:spacing w:line="276" w:lineRule="auto"/>
        <w:jc w:val="both"/>
        <w:rPr>
          <w:sz w:val="18"/>
          <w:szCs w:val="18"/>
        </w:rPr>
      </w:pPr>
      <w:r w:rsidRPr="00B32C0A">
        <w:rPr>
          <w:sz w:val="18"/>
          <w:szCs w:val="18"/>
        </w:rPr>
        <w:t xml:space="preserve">Jaarlijks vinden functioneringsgesprekken plaats tussen het presidium en de afzonderlijke leden van de raad van bestuur. </w:t>
      </w:r>
    </w:p>
    <w:p w:rsidR="00B32C0A" w:rsidRPr="00B32C0A" w:rsidRDefault="00B32C0A" w:rsidP="00B32C0A">
      <w:pPr>
        <w:spacing w:line="276" w:lineRule="auto"/>
        <w:jc w:val="both"/>
        <w:rPr>
          <w:sz w:val="18"/>
          <w:szCs w:val="18"/>
        </w:rPr>
      </w:pPr>
      <w:r w:rsidRPr="00B32C0A">
        <w:rPr>
          <w:sz w:val="18"/>
          <w:szCs w:val="18"/>
        </w:rPr>
        <w:t>Voorafgaand aan deze gesprekken spreekt het presidium met de OR, de CCR, de directies en de managers. Op deze manier wordt invulling gegeven aan de 360° feedback-cyclus.</w:t>
      </w:r>
    </w:p>
    <w:p w:rsidR="00B32C0A" w:rsidRPr="00B32C0A" w:rsidRDefault="00B32C0A" w:rsidP="00B32C0A">
      <w:pPr>
        <w:spacing w:line="276" w:lineRule="auto"/>
        <w:jc w:val="both"/>
        <w:rPr>
          <w:sz w:val="18"/>
          <w:szCs w:val="18"/>
        </w:rPr>
      </w:pPr>
      <w:r w:rsidRPr="00B32C0A">
        <w:rPr>
          <w:sz w:val="18"/>
          <w:szCs w:val="18"/>
        </w:rPr>
        <w:t xml:space="preserve">De leden van de raad van bestuur bekleden meerdere nevenfuncties. De raad van toezicht heeft hiervoor goedkeuring gegeven, zodat belangenverstrengeling voorkomen wordt. In bijlage 3 is een overzicht van de nevenfuncties opgenomen. </w:t>
      </w:r>
    </w:p>
    <w:p w:rsidR="00B32C0A" w:rsidRPr="00B32C0A" w:rsidRDefault="00B32C0A" w:rsidP="00B32C0A">
      <w:pPr>
        <w:spacing w:line="276" w:lineRule="auto"/>
        <w:jc w:val="both"/>
        <w:rPr>
          <w:sz w:val="18"/>
          <w:szCs w:val="18"/>
        </w:rPr>
      </w:pPr>
      <w:r w:rsidRPr="00B32C0A">
        <w:rPr>
          <w:sz w:val="18"/>
          <w:szCs w:val="18"/>
        </w:rPr>
        <w:t xml:space="preserve">Vanaf 2015 houdt de raad van bestuur halfjaargesprekken met de directies van de stichtingen, de manager van de ondersteunende diensten, de geneesheer-directeur en de opleiders. Tijdens deze gesprekken wordt de realisatie van de kaderbrief en de jaarplannen besproken wordt. </w:t>
      </w:r>
    </w:p>
    <w:p w:rsidR="00B32C0A" w:rsidRPr="00B32C0A" w:rsidRDefault="00B32C0A" w:rsidP="00B32C0A">
      <w:pPr>
        <w:spacing w:line="276" w:lineRule="auto"/>
        <w:jc w:val="both"/>
        <w:rPr>
          <w:sz w:val="18"/>
          <w:szCs w:val="18"/>
        </w:rPr>
      </w:pPr>
    </w:p>
    <w:p w:rsidR="00B32C0A" w:rsidRPr="00B32C0A" w:rsidRDefault="00B32C0A" w:rsidP="00B32C0A">
      <w:pPr>
        <w:spacing w:line="276" w:lineRule="auto"/>
        <w:jc w:val="both"/>
        <w:rPr>
          <w:sz w:val="18"/>
          <w:szCs w:val="18"/>
        </w:rPr>
        <w:sectPr w:rsidR="00B32C0A" w:rsidRPr="00B32C0A" w:rsidSect="00D91EE7">
          <w:type w:val="continuous"/>
          <w:pgSz w:w="11906" w:h="16838"/>
          <w:pgMar w:top="1418" w:right="1247" w:bottom="1418" w:left="1247" w:header="709" w:footer="709" w:gutter="0"/>
          <w:cols w:num="2" w:space="708"/>
          <w:docGrid w:linePitch="360"/>
        </w:sectPr>
      </w:pPr>
    </w:p>
    <w:p w:rsidR="00B32C0A" w:rsidRPr="00B32C0A" w:rsidRDefault="00B32C0A" w:rsidP="00B32C0A">
      <w:pPr>
        <w:spacing w:line="276" w:lineRule="auto"/>
        <w:jc w:val="both"/>
        <w:rPr>
          <w:sz w:val="18"/>
          <w:szCs w:val="18"/>
        </w:rPr>
      </w:pPr>
    </w:p>
    <w:p w:rsidR="00B32C0A" w:rsidRDefault="00B32C0A" w:rsidP="00B32C0A">
      <w:pPr>
        <w:spacing w:line="240" w:lineRule="auto"/>
      </w:pPr>
    </w:p>
    <w:sectPr w:rsidR="00B32C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D6801">
      <w:pPr>
        <w:spacing w:after="0" w:line="240" w:lineRule="auto"/>
      </w:pPr>
      <w:r>
        <w:separator/>
      </w:r>
    </w:p>
  </w:endnote>
  <w:endnote w:type="continuationSeparator" w:id="0">
    <w:p w:rsidR="00000000" w:rsidRDefault="003D6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354980"/>
      <w:docPartObj>
        <w:docPartGallery w:val="Page Numbers (Bottom of Page)"/>
        <w:docPartUnique/>
      </w:docPartObj>
    </w:sdtPr>
    <w:sdtEndPr>
      <w:rPr>
        <w:color w:val="808080" w:themeColor="background2" w:themeShade="80"/>
      </w:rPr>
    </w:sdtEndPr>
    <w:sdtContent>
      <w:p w:rsidR="00CB3289" w:rsidRPr="00075328" w:rsidRDefault="007D3EC0" w:rsidP="00C831E2">
        <w:pPr>
          <w:pStyle w:val="Voettekst"/>
          <w:rPr>
            <w:color w:val="808080" w:themeColor="background2" w:themeShade="80"/>
          </w:rPr>
        </w:pPr>
        <w:r w:rsidRPr="00075328">
          <w:rPr>
            <w:color w:val="808080" w:themeColor="background2" w:themeShade="80"/>
          </w:rPr>
          <w:fldChar w:fldCharType="begin"/>
        </w:r>
        <w:r w:rsidRPr="00075328">
          <w:rPr>
            <w:color w:val="808080" w:themeColor="background2" w:themeShade="80"/>
          </w:rPr>
          <w:instrText>PAGE   \* MERGEFORMAT</w:instrText>
        </w:r>
        <w:r w:rsidRPr="00075328">
          <w:rPr>
            <w:color w:val="808080" w:themeColor="background2" w:themeShade="80"/>
          </w:rPr>
          <w:fldChar w:fldCharType="separate"/>
        </w:r>
        <w:r w:rsidR="003D6801">
          <w:rPr>
            <w:noProof/>
            <w:color w:val="808080" w:themeColor="background2" w:themeShade="80"/>
          </w:rPr>
          <w:t>1</w:t>
        </w:r>
        <w:r w:rsidRPr="00075328">
          <w:rPr>
            <w:color w:val="808080" w:themeColor="background2" w:themeShade="80"/>
          </w:rPr>
          <w:fldChar w:fldCharType="end"/>
        </w:r>
        <w:r w:rsidRPr="00075328">
          <w:rPr>
            <w:color w:val="808080" w:themeColor="background2" w:themeShade="80"/>
          </w:rPr>
          <w:t xml:space="preserve"> | </w:t>
        </w:r>
        <w:r>
          <w:rPr>
            <w:color w:val="808080" w:themeColor="background2" w:themeShade="80"/>
          </w:rPr>
          <w:t>Kerngegevens over 2015</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289" w:rsidRPr="00BD3C65" w:rsidRDefault="003D6801" w:rsidP="00D91EE7">
    <w:pPr>
      <w:pStyle w:val="Voettekst"/>
      <w:rPr>
        <w:color w:val="808080" w:themeColor="background2" w:themeShade="80"/>
      </w:rPr>
    </w:pPr>
    <w:sdt>
      <w:sdtPr>
        <w:id w:val="2072224257"/>
        <w:docPartObj>
          <w:docPartGallery w:val="Page Numbers (Bottom of Page)"/>
          <w:docPartUnique/>
        </w:docPartObj>
      </w:sdtPr>
      <w:sdtEndPr>
        <w:rPr>
          <w:color w:val="808080" w:themeColor="background2" w:themeShade="80"/>
        </w:rPr>
      </w:sdtEndPr>
      <w:sdtContent>
        <w:r w:rsidR="007D3EC0" w:rsidRPr="00BD3C65">
          <w:rPr>
            <w:color w:val="808080" w:themeColor="background2" w:themeShade="80"/>
          </w:rPr>
          <w:fldChar w:fldCharType="begin"/>
        </w:r>
        <w:r w:rsidR="007D3EC0" w:rsidRPr="00BD3C65">
          <w:rPr>
            <w:color w:val="808080" w:themeColor="background2" w:themeShade="80"/>
          </w:rPr>
          <w:instrText>PAGE   \* MERGEFORMAT</w:instrText>
        </w:r>
        <w:r w:rsidR="007D3EC0" w:rsidRPr="00BD3C65">
          <w:rPr>
            <w:color w:val="808080" w:themeColor="background2" w:themeShade="80"/>
          </w:rPr>
          <w:fldChar w:fldCharType="separate"/>
        </w:r>
        <w:r>
          <w:rPr>
            <w:noProof/>
            <w:color w:val="808080" w:themeColor="background2" w:themeShade="80"/>
          </w:rPr>
          <w:t>2</w:t>
        </w:r>
        <w:r w:rsidR="007D3EC0" w:rsidRPr="00BD3C65">
          <w:rPr>
            <w:color w:val="808080" w:themeColor="background2" w:themeShade="80"/>
          </w:rPr>
          <w:fldChar w:fldCharType="end"/>
        </w:r>
      </w:sdtContent>
    </w:sdt>
    <w:r w:rsidR="007D3EC0" w:rsidRPr="00BD3C65">
      <w:rPr>
        <w:color w:val="808080" w:themeColor="background2" w:themeShade="80"/>
      </w:rPr>
      <w:t xml:space="preserve"> | </w:t>
    </w:r>
    <w:r w:rsidR="007D3EC0">
      <w:rPr>
        <w:color w:val="808080" w:themeColor="background2" w:themeShade="80"/>
      </w:rPr>
      <w:t>Toezicht, bestuur en medezeggenschap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D6801">
      <w:pPr>
        <w:spacing w:after="0" w:line="240" w:lineRule="auto"/>
      </w:pPr>
      <w:r>
        <w:separator/>
      </w:r>
    </w:p>
  </w:footnote>
  <w:footnote w:type="continuationSeparator" w:id="0">
    <w:p w:rsidR="00000000" w:rsidRDefault="003D68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65073"/>
    <w:multiLevelType w:val="hybridMultilevel"/>
    <w:tmpl w:val="653E74E2"/>
    <w:lvl w:ilvl="0" w:tplc="6E02CA0C">
      <w:start w:val="1"/>
      <w:numFmt w:val="bullet"/>
      <w:lvlText w:val=""/>
      <w:lvlJc w:val="left"/>
      <w:pPr>
        <w:ind w:left="4614" w:hanging="360"/>
      </w:pPr>
      <w:rPr>
        <w:rFonts w:ascii="Wingdings" w:hAnsi="Wingdings" w:hint="default"/>
        <w:color w:val="3C445E" w:themeColor="accent1"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0185441"/>
    <w:multiLevelType w:val="multilevel"/>
    <w:tmpl w:val="A802FD62"/>
    <w:lvl w:ilvl="0">
      <w:start w:val="1"/>
      <w:numFmt w:val="decimal"/>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C0A"/>
    <w:rsid w:val="003D6801"/>
    <w:rsid w:val="00681470"/>
    <w:rsid w:val="006A14AF"/>
    <w:rsid w:val="007D3EC0"/>
    <w:rsid w:val="00B32C0A"/>
    <w:rsid w:val="00CD23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0C357-40EF-47B3-BA56-FF7064E3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1">
    <w:name w:val="heading 1"/>
    <w:basedOn w:val="Standaard"/>
    <w:next w:val="Standaard"/>
    <w:link w:val="Kop1Char"/>
    <w:autoRedefine/>
    <w:uiPriority w:val="1"/>
    <w:qFormat/>
    <w:rsid w:val="00B32C0A"/>
    <w:pPr>
      <w:keepNext/>
      <w:pBdr>
        <w:top w:val="single" w:sz="18" w:space="1" w:color="3C445E" w:themeColor="accent1" w:themeShade="BF"/>
        <w:left w:val="single" w:sz="36" w:space="4" w:color="3C445E" w:themeColor="accent1" w:themeShade="BF"/>
        <w:right w:val="single" w:sz="36" w:space="4" w:color="3C445E" w:themeColor="accent1" w:themeShade="BF"/>
      </w:pBdr>
      <w:shd w:val="clear" w:color="auto" w:fill="FFFFFF"/>
      <w:spacing w:after="0" w:line="276" w:lineRule="auto"/>
      <w:ind w:left="431" w:hanging="573"/>
      <w:jc w:val="both"/>
      <w:outlineLvl w:val="0"/>
    </w:pPr>
    <w:rPr>
      <w:rFonts w:ascii="Verdana" w:eastAsiaTheme="majorEastAsia" w:hAnsi="Verdana" w:cs="Arial"/>
      <w:b/>
      <w:color w:val="3C445E" w:themeColor="accent1" w:themeShade="BF"/>
      <w:kern w:val="32"/>
      <w:sz w:val="28"/>
      <w:szCs w:val="28"/>
    </w:rPr>
  </w:style>
  <w:style w:type="paragraph" w:styleId="Kop2">
    <w:name w:val="heading 2"/>
    <w:next w:val="Standaard"/>
    <w:link w:val="Kop2Char"/>
    <w:uiPriority w:val="1"/>
    <w:qFormat/>
    <w:rsid w:val="00B32C0A"/>
    <w:pPr>
      <w:numPr>
        <w:ilvl w:val="1"/>
        <w:numId w:val="1"/>
      </w:numPr>
      <w:pBdr>
        <w:top w:val="single" w:sz="12" w:space="1" w:color="3C445E" w:themeColor="accent1" w:themeShade="BF"/>
        <w:left w:val="single" w:sz="12" w:space="4" w:color="3C445E" w:themeColor="accent1" w:themeShade="BF"/>
      </w:pBdr>
      <w:shd w:val="clear" w:color="auto" w:fill="FFFFFF"/>
      <w:spacing w:before="120" w:after="60" w:line="240" w:lineRule="auto"/>
      <w:outlineLvl w:val="1"/>
    </w:pPr>
    <w:rPr>
      <w:rFonts w:ascii="Verdana" w:eastAsiaTheme="majorEastAsia" w:hAnsi="Verdana" w:cs="Arial"/>
      <w:b/>
      <w:iCs/>
      <w:color w:val="3C445E" w:themeColor="accent1" w:themeShade="BF"/>
      <w:sz w:val="20"/>
      <w:szCs w:val="28"/>
    </w:rPr>
  </w:style>
  <w:style w:type="paragraph" w:styleId="Kop3">
    <w:name w:val="heading 3"/>
    <w:basedOn w:val="Standaard"/>
    <w:next w:val="Standaard"/>
    <w:link w:val="Kop3Char"/>
    <w:uiPriority w:val="1"/>
    <w:qFormat/>
    <w:rsid w:val="00B32C0A"/>
    <w:pPr>
      <w:keepNext/>
      <w:numPr>
        <w:ilvl w:val="2"/>
        <w:numId w:val="1"/>
      </w:numPr>
      <w:spacing w:before="120" w:after="0" w:line="284" w:lineRule="atLeast"/>
      <w:outlineLvl w:val="2"/>
    </w:pPr>
    <w:rPr>
      <w:rFonts w:ascii="Verdana" w:eastAsiaTheme="majorEastAsia" w:hAnsi="Verdana" w:cs="Arial"/>
      <w:bCs/>
      <w:i/>
      <w:color w:val="3C445E" w:themeColor="accent1" w:themeShade="BF"/>
      <w:sz w:val="18"/>
      <w:szCs w:val="26"/>
    </w:rPr>
  </w:style>
  <w:style w:type="paragraph" w:styleId="Kop4">
    <w:name w:val="heading 4"/>
    <w:basedOn w:val="Standaard"/>
    <w:next w:val="Standaard"/>
    <w:link w:val="Kop4Char"/>
    <w:uiPriority w:val="9"/>
    <w:semiHidden/>
    <w:unhideWhenUsed/>
    <w:rsid w:val="00B32C0A"/>
    <w:pPr>
      <w:keepNext/>
      <w:keepLines/>
      <w:numPr>
        <w:ilvl w:val="3"/>
        <w:numId w:val="1"/>
      </w:numPr>
      <w:spacing w:before="200" w:after="0" w:line="284" w:lineRule="atLeast"/>
      <w:outlineLvl w:val="3"/>
    </w:pPr>
    <w:rPr>
      <w:rFonts w:asciiTheme="majorHAnsi" w:eastAsiaTheme="majorEastAsia" w:hAnsiTheme="majorHAnsi" w:cstheme="majorBidi"/>
      <w:b/>
      <w:bCs/>
      <w:i/>
      <w:iCs/>
      <w:color w:val="515B7E" w:themeColor="accent1"/>
      <w:sz w:val="18"/>
      <w:szCs w:val="24"/>
      <w:lang w:bidi="bn-IN"/>
    </w:rPr>
  </w:style>
  <w:style w:type="paragraph" w:styleId="Kop7">
    <w:name w:val="heading 7"/>
    <w:basedOn w:val="Standaard"/>
    <w:next w:val="Standaard"/>
    <w:link w:val="Kop7Char"/>
    <w:semiHidden/>
    <w:qFormat/>
    <w:rsid w:val="00B32C0A"/>
    <w:pPr>
      <w:numPr>
        <w:ilvl w:val="6"/>
        <w:numId w:val="1"/>
      </w:numPr>
      <w:spacing w:before="240" w:after="0" w:line="284" w:lineRule="atLeast"/>
      <w:outlineLvl w:val="6"/>
    </w:pPr>
    <w:rPr>
      <w:rFonts w:ascii="Verdana" w:eastAsiaTheme="majorEastAsia" w:hAnsi="Verdana" w:cstheme="majorBidi"/>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B32C0A"/>
    <w:rPr>
      <w:rFonts w:ascii="Verdana" w:eastAsiaTheme="majorEastAsia" w:hAnsi="Verdana" w:cs="Arial"/>
      <w:b/>
      <w:color w:val="3C445E" w:themeColor="accent1" w:themeShade="BF"/>
      <w:kern w:val="32"/>
      <w:sz w:val="28"/>
      <w:szCs w:val="28"/>
      <w:shd w:val="clear" w:color="auto" w:fill="FFFFFF"/>
    </w:rPr>
  </w:style>
  <w:style w:type="character" w:customStyle="1" w:styleId="Kop2Char">
    <w:name w:val="Kop 2 Char"/>
    <w:basedOn w:val="Standaardalinea-lettertype"/>
    <w:link w:val="Kop2"/>
    <w:uiPriority w:val="1"/>
    <w:rsid w:val="00B32C0A"/>
    <w:rPr>
      <w:rFonts w:ascii="Verdana" w:eastAsiaTheme="majorEastAsia" w:hAnsi="Verdana" w:cs="Arial"/>
      <w:b/>
      <w:iCs/>
      <w:color w:val="3C445E" w:themeColor="accent1" w:themeShade="BF"/>
      <w:sz w:val="20"/>
      <w:szCs w:val="28"/>
      <w:shd w:val="clear" w:color="auto" w:fill="FFFFFF"/>
    </w:rPr>
  </w:style>
  <w:style w:type="character" w:customStyle="1" w:styleId="Kop3Char">
    <w:name w:val="Kop 3 Char"/>
    <w:basedOn w:val="Standaardalinea-lettertype"/>
    <w:link w:val="Kop3"/>
    <w:uiPriority w:val="1"/>
    <w:rsid w:val="00B32C0A"/>
    <w:rPr>
      <w:rFonts w:ascii="Verdana" w:eastAsiaTheme="majorEastAsia" w:hAnsi="Verdana" w:cs="Arial"/>
      <w:bCs/>
      <w:i/>
      <w:color w:val="3C445E" w:themeColor="accent1" w:themeShade="BF"/>
      <w:sz w:val="18"/>
      <w:szCs w:val="26"/>
    </w:rPr>
  </w:style>
  <w:style w:type="character" w:customStyle="1" w:styleId="Kop4Char">
    <w:name w:val="Kop 4 Char"/>
    <w:basedOn w:val="Standaardalinea-lettertype"/>
    <w:link w:val="Kop4"/>
    <w:uiPriority w:val="9"/>
    <w:semiHidden/>
    <w:rsid w:val="00B32C0A"/>
    <w:rPr>
      <w:rFonts w:asciiTheme="majorHAnsi" w:eastAsiaTheme="majorEastAsia" w:hAnsiTheme="majorHAnsi" w:cstheme="majorBidi"/>
      <w:b/>
      <w:bCs/>
      <w:i/>
      <w:iCs/>
      <w:color w:val="515B7E" w:themeColor="accent1"/>
      <w:sz w:val="18"/>
      <w:szCs w:val="24"/>
      <w:lang w:bidi="bn-IN"/>
    </w:rPr>
  </w:style>
  <w:style w:type="character" w:customStyle="1" w:styleId="Kop7Char">
    <w:name w:val="Kop 7 Char"/>
    <w:basedOn w:val="Standaardalinea-lettertype"/>
    <w:link w:val="Kop7"/>
    <w:semiHidden/>
    <w:rsid w:val="00B32C0A"/>
    <w:rPr>
      <w:rFonts w:ascii="Verdana" w:eastAsiaTheme="majorEastAsia" w:hAnsi="Verdana" w:cstheme="majorBidi"/>
      <w:sz w:val="18"/>
      <w:szCs w:val="20"/>
    </w:rPr>
  </w:style>
  <w:style w:type="paragraph" w:styleId="Lijstalinea">
    <w:name w:val="List Paragraph"/>
    <w:basedOn w:val="Standaard"/>
    <w:uiPriority w:val="34"/>
    <w:qFormat/>
    <w:rsid w:val="00B32C0A"/>
    <w:pPr>
      <w:spacing w:after="0" w:line="284" w:lineRule="atLeast"/>
      <w:ind w:left="720"/>
      <w:contextualSpacing/>
    </w:pPr>
    <w:rPr>
      <w:rFonts w:ascii="Verdana" w:eastAsia="Times New Roman" w:hAnsi="Verdana" w:cs="Vrinda"/>
      <w:sz w:val="18"/>
      <w:szCs w:val="24"/>
      <w:lang w:bidi="bn-IN"/>
    </w:rPr>
  </w:style>
  <w:style w:type="paragraph" w:styleId="Voettekst">
    <w:name w:val="footer"/>
    <w:basedOn w:val="Standaard"/>
    <w:link w:val="VoettekstChar"/>
    <w:uiPriority w:val="99"/>
    <w:unhideWhenUsed/>
    <w:qFormat/>
    <w:rsid w:val="00B32C0A"/>
    <w:pPr>
      <w:tabs>
        <w:tab w:val="center" w:pos="4536"/>
        <w:tab w:val="right" w:pos="9072"/>
      </w:tabs>
      <w:spacing w:after="0" w:line="284" w:lineRule="atLeast"/>
    </w:pPr>
    <w:rPr>
      <w:rFonts w:ascii="Verdana" w:eastAsia="Times New Roman" w:hAnsi="Verdana" w:cs="Vrinda"/>
      <w:sz w:val="14"/>
      <w:szCs w:val="24"/>
      <w:lang w:bidi="bn-IN"/>
    </w:rPr>
  </w:style>
  <w:style w:type="character" w:customStyle="1" w:styleId="VoettekstChar">
    <w:name w:val="Voettekst Char"/>
    <w:basedOn w:val="Standaardalinea-lettertype"/>
    <w:link w:val="Voettekst"/>
    <w:uiPriority w:val="99"/>
    <w:rsid w:val="00B32C0A"/>
    <w:rPr>
      <w:rFonts w:ascii="Verdana" w:eastAsia="Times New Roman" w:hAnsi="Verdana" w:cs="Vrinda"/>
      <w:sz w:val="14"/>
      <w:szCs w:val="24"/>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Dimence Groep">
  <a:themeElements>
    <a:clrScheme name="DimenceGroep">
      <a:dk1>
        <a:srgbClr val="000000"/>
      </a:dk1>
      <a:lt1>
        <a:srgbClr val="FFFFFF"/>
      </a:lt1>
      <a:dk2>
        <a:srgbClr val="515B7E"/>
      </a:dk2>
      <a:lt2>
        <a:srgbClr val="FFFFFF"/>
      </a:lt2>
      <a:accent1>
        <a:srgbClr val="515B7E"/>
      </a:accent1>
      <a:accent2>
        <a:srgbClr val="60BFE8"/>
      </a:accent2>
      <a:accent3>
        <a:srgbClr val="006FB7"/>
      </a:accent3>
      <a:accent4>
        <a:srgbClr val="FFC000"/>
      </a:accent4>
      <a:accent5>
        <a:srgbClr val="EF9C9E"/>
      </a:accent5>
      <a:accent6>
        <a:srgbClr val="83B919"/>
      </a:accent6>
      <a:hlink>
        <a:srgbClr val="006FB7"/>
      </a:hlink>
      <a:folHlink>
        <a:srgbClr val="006FB7"/>
      </a:folHlink>
    </a:clrScheme>
    <a:fontScheme name="Dimence">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60E3A-3F0F-4F88-A1B3-A7969FD32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D1AA25B3.dotm</Template>
  <TotalTime>1</TotalTime>
  <Pages>4</Pages>
  <Words>1386</Words>
  <Characters>7625</Characters>
  <Application>Microsoft Office Word</Application>
  <DocSecurity>4</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Brie</dc:creator>
  <cp:keywords/>
  <dc:description/>
  <cp:lastModifiedBy>Margreet Hiddink</cp:lastModifiedBy>
  <cp:revision>2</cp:revision>
  <dcterms:created xsi:type="dcterms:W3CDTF">2017-08-09T09:18:00Z</dcterms:created>
  <dcterms:modified xsi:type="dcterms:W3CDTF">2017-08-09T09:18:00Z</dcterms:modified>
</cp:coreProperties>
</file>